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C1E14" w:rsidRPr="00DD309C" w:rsidRDefault="008C1E14" w:rsidP="008C1E14">
      <w:pPr>
        <w:spacing w:before="100" w:beforeAutospacing="1" w:after="100" w:afterAutospacing="1" w:line="480" w:lineRule="auto"/>
        <w:jc w:val="center"/>
        <w:rPr>
          <w:rFonts w:ascii="Times New Roman" w:hAnsi="Times New Roman" w:cs="Times New Roman"/>
          <w:sz w:val="24"/>
          <w:szCs w:val="24"/>
        </w:rPr>
      </w:pPr>
    </w:p>
    <w:p w:rsidR="008C1E14" w:rsidRPr="00DD309C" w:rsidRDefault="008C1E14" w:rsidP="008C1E14">
      <w:pPr>
        <w:spacing w:before="100" w:beforeAutospacing="1" w:after="100" w:afterAutospacing="1" w:line="480" w:lineRule="auto"/>
        <w:jc w:val="center"/>
        <w:rPr>
          <w:rFonts w:ascii="Times New Roman" w:hAnsi="Times New Roman" w:cs="Times New Roman"/>
          <w:sz w:val="24"/>
          <w:szCs w:val="24"/>
        </w:rPr>
      </w:pPr>
    </w:p>
    <w:p w:rsidR="008C1E14" w:rsidRPr="00DD309C" w:rsidRDefault="008C1E14" w:rsidP="008C1E14">
      <w:pPr>
        <w:spacing w:before="100" w:beforeAutospacing="1" w:after="100" w:afterAutospacing="1" w:line="480" w:lineRule="auto"/>
        <w:jc w:val="center"/>
        <w:rPr>
          <w:rFonts w:ascii="Times New Roman" w:hAnsi="Times New Roman" w:cs="Times New Roman"/>
          <w:sz w:val="24"/>
          <w:szCs w:val="24"/>
        </w:rPr>
      </w:pPr>
    </w:p>
    <w:p w:rsidR="008C1E14" w:rsidRPr="00DD309C" w:rsidRDefault="008C1E14" w:rsidP="008C1E14">
      <w:pPr>
        <w:spacing w:before="100" w:beforeAutospacing="1" w:after="100" w:afterAutospacing="1" w:line="480" w:lineRule="auto"/>
        <w:jc w:val="center"/>
        <w:rPr>
          <w:rFonts w:ascii="Times New Roman" w:hAnsi="Times New Roman" w:cs="Times New Roman"/>
          <w:sz w:val="24"/>
          <w:szCs w:val="24"/>
        </w:rPr>
      </w:pPr>
    </w:p>
    <w:p w:rsidR="008C1E14" w:rsidRPr="00DD309C" w:rsidRDefault="008C1E14" w:rsidP="008C1E14">
      <w:pPr>
        <w:spacing w:before="100" w:beforeAutospacing="1" w:after="100" w:afterAutospacing="1" w:line="480" w:lineRule="auto"/>
        <w:jc w:val="center"/>
        <w:rPr>
          <w:rFonts w:ascii="Times New Roman" w:hAnsi="Times New Roman" w:cs="Times New Roman"/>
          <w:sz w:val="24"/>
          <w:szCs w:val="24"/>
        </w:rPr>
      </w:pPr>
    </w:p>
    <w:p w:rsidR="008C1E14" w:rsidRPr="00DD309C" w:rsidRDefault="008C1E14" w:rsidP="008C1E14">
      <w:pPr>
        <w:spacing w:before="100" w:beforeAutospacing="1" w:after="100" w:afterAutospacing="1" w:line="480" w:lineRule="auto"/>
        <w:jc w:val="center"/>
        <w:rPr>
          <w:rFonts w:ascii="Times New Roman" w:hAnsi="Times New Roman" w:cs="Times New Roman"/>
          <w:sz w:val="24"/>
          <w:szCs w:val="24"/>
        </w:rPr>
      </w:pPr>
    </w:p>
    <w:p w:rsidR="008C1E14" w:rsidRPr="00DD309C" w:rsidRDefault="008C1E14" w:rsidP="008C1E14">
      <w:pPr>
        <w:spacing w:before="100" w:beforeAutospacing="1" w:after="100" w:afterAutospacing="1" w:line="480" w:lineRule="auto"/>
        <w:jc w:val="center"/>
        <w:rPr>
          <w:rFonts w:ascii="Times New Roman" w:hAnsi="Times New Roman" w:cs="Times New Roman"/>
          <w:sz w:val="24"/>
          <w:szCs w:val="24"/>
        </w:rPr>
      </w:pPr>
    </w:p>
    <w:p w:rsidR="008C1E14" w:rsidRPr="00DD309C" w:rsidRDefault="008C1E14" w:rsidP="008C1E14">
      <w:pPr>
        <w:spacing w:before="100" w:beforeAutospacing="1" w:after="100" w:afterAutospacing="1" w:line="480" w:lineRule="auto"/>
        <w:jc w:val="center"/>
        <w:rPr>
          <w:rFonts w:ascii="Times New Roman" w:hAnsi="Times New Roman" w:cs="Times New Roman"/>
          <w:sz w:val="24"/>
          <w:szCs w:val="24"/>
        </w:rPr>
      </w:pPr>
    </w:p>
    <w:p w:rsidR="002A58E6" w:rsidRPr="00DD309C" w:rsidRDefault="00C5322B" w:rsidP="008C1E14">
      <w:pPr>
        <w:spacing w:before="100" w:beforeAutospacing="1" w:after="100" w:afterAutospacing="1" w:line="480" w:lineRule="auto"/>
        <w:jc w:val="center"/>
        <w:rPr>
          <w:rFonts w:ascii="Times New Roman" w:hAnsi="Times New Roman" w:cs="Times New Roman"/>
          <w:sz w:val="24"/>
          <w:szCs w:val="24"/>
        </w:rPr>
      </w:pPr>
      <w:r w:rsidRPr="00DD309C">
        <w:rPr>
          <w:rFonts w:ascii="Times New Roman" w:hAnsi="Times New Roman" w:cs="Times New Roman"/>
          <w:sz w:val="24"/>
          <w:szCs w:val="24"/>
        </w:rPr>
        <w:t>Critique for Gail Industries audit strategy</w:t>
      </w:r>
    </w:p>
    <w:p w:rsidR="008C1E14" w:rsidRPr="00DD309C" w:rsidRDefault="008C1E14" w:rsidP="008C1E14">
      <w:pPr>
        <w:spacing w:before="100" w:beforeAutospacing="1" w:after="100" w:afterAutospacing="1" w:line="480" w:lineRule="auto"/>
        <w:jc w:val="center"/>
        <w:rPr>
          <w:rFonts w:ascii="Times New Roman" w:hAnsi="Times New Roman" w:cs="Times New Roman"/>
          <w:sz w:val="24"/>
          <w:szCs w:val="24"/>
        </w:rPr>
      </w:pPr>
      <w:r w:rsidRPr="00DD309C">
        <w:rPr>
          <w:rFonts w:ascii="Times New Roman" w:hAnsi="Times New Roman" w:cs="Times New Roman"/>
          <w:sz w:val="24"/>
          <w:szCs w:val="24"/>
        </w:rPr>
        <w:t xml:space="preserve">Name </w:t>
      </w:r>
    </w:p>
    <w:p w:rsidR="008C1E14" w:rsidRPr="00DD309C" w:rsidRDefault="008C1E14" w:rsidP="008C1E14">
      <w:pPr>
        <w:spacing w:before="100" w:beforeAutospacing="1" w:after="100" w:afterAutospacing="1" w:line="480" w:lineRule="auto"/>
        <w:jc w:val="center"/>
        <w:rPr>
          <w:rFonts w:ascii="Times New Roman" w:hAnsi="Times New Roman" w:cs="Times New Roman"/>
          <w:sz w:val="24"/>
          <w:szCs w:val="24"/>
        </w:rPr>
      </w:pPr>
      <w:r w:rsidRPr="00DD309C">
        <w:rPr>
          <w:rFonts w:ascii="Times New Roman" w:hAnsi="Times New Roman" w:cs="Times New Roman"/>
          <w:sz w:val="24"/>
          <w:szCs w:val="24"/>
        </w:rPr>
        <w:t xml:space="preserve">Institution </w:t>
      </w:r>
    </w:p>
    <w:p w:rsidR="008C1E14" w:rsidRPr="00DD309C" w:rsidRDefault="008C1E14" w:rsidP="008C1E14">
      <w:pPr>
        <w:spacing w:before="100" w:beforeAutospacing="1" w:after="100" w:afterAutospacing="1" w:line="480" w:lineRule="auto"/>
        <w:jc w:val="center"/>
        <w:rPr>
          <w:rFonts w:ascii="Times New Roman" w:hAnsi="Times New Roman" w:cs="Times New Roman"/>
          <w:sz w:val="24"/>
          <w:szCs w:val="24"/>
        </w:rPr>
      </w:pPr>
      <w:r w:rsidRPr="00DD309C">
        <w:rPr>
          <w:rFonts w:ascii="Times New Roman" w:hAnsi="Times New Roman" w:cs="Times New Roman"/>
          <w:sz w:val="24"/>
          <w:szCs w:val="24"/>
        </w:rPr>
        <w:t xml:space="preserve">Date </w:t>
      </w:r>
    </w:p>
    <w:p w:rsidR="008C1E14" w:rsidRPr="00DD309C" w:rsidRDefault="008C1E14" w:rsidP="008C1E14">
      <w:pPr>
        <w:spacing w:before="100" w:beforeAutospacing="1" w:after="100" w:afterAutospacing="1" w:line="480" w:lineRule="auto"/>
        <w:jc w:val="center"/>
        <w:rPr>
          <w:rFonts w:ascii="Times New Roman" w:hAnsi="Times New Roman" w:cs="Times New Roman"/>
          <w:sz w:val="24"/>
          <w:szCs w:val="24"/>
        </w:rPr>
      </w:pPr>
    </w:p>
    <w:p w:rsidR="008C1E14" w:rsidRPr="00DD309C" w:rsidRDefault="008C1E14" w:rsidP="008C1E14">
      <w:pPr>
        <w:spacing w:before="100" w:beforeAutospacing="1" w:after="100" w:afterAutospacing="1" w:line="480" w:lineRule="auto"/>
        <w:jc w:val="center"/>
        <w:rPr>
          <w:rFonts w:ascii="Times New Roman" w:hAnsi="Times New Roman" w:cs="Times New Roman"/>
          <w:sz w:val="24"/>
          <w:szCs w:val="24"/>
        </w:rPr>
      </w:pPr>
    </w:p>
    <w:p w:rsidR="008C1E14" w:rsidRPr="00DD309C" w:rsidRDefault="008C1E14" w:rsidP="008C1E14">
      <w:pPr>
        <w:spacing w:before="100" w:beforeAutospacing="1" w:after="100" w:afterAutospacing="1" w:line="480" w:lineRule="auto"/>
        <w:jc w:val="center"/>
        <w:rPr>
          <w:rFonts w:ascii="Times New Roman" w:hAnsi="Times New Roman" w:cs="Times New Roman"/>
          <w:sz w:val="24"/>
          <w:szCs w:val="24"/>
        </w:rPr>
      </w:pPr>
    </w:p>
    <w:p w:rsidR="00DD309C" w:rsidRPr="00DD309C" w:rsidRDefault="00DD309C" w:rsidP="008C1E14">
      <w:pPr>
        <w:spacing w:before="100" w:beforeAutospacing="1" w:after="100" w:afterAutospacing="1" w:line="480" w:lineRule="auto"/>
        <w:jc w:val="center"/>
        <w:rPr>
          <w:rFonts w:ascii="Times New Roman" w:hAnsi="Times New Roman" w:cs="Times New Roman"/>
          <w:sz w:val="24"/>
          <w:szCs w:val="24"/>
        </w:rPr>
      </w:pPr>
    </w:p>
    <w:p w:rsidR="00DD309C" w:rsidRPr="00DD309C" w:rsidRDefault="00DD309C" w:rsidP="00DD309C">
      <w:pPr>
        <w:spacing w:before="100" w:beforeAutospacing="1" w:after="100" w:afterAutospacing="1" w:line="480" w:lineRule="auto"/>
        <w:jc w:val="center"/>
        <w:rPr>
          <w:rFonts w:ascii="Times New Roman" w:hAnsi="Times New Roman" w:cs="Times New Roman"/>
          <w:sz w:val="24"/>
          <w:szCs w:val="24"/>
        </w:rPr>
      </w:pPr>
      <w:r w:rsidRPr="00DD309C">
        <w:rPr>
          <w:rFonts w:ascii="Times New Roman" w:hAnsi="Times New Roman" w:cs="Times New Roman"/>
          <w:sz w:val="24"/>
          <w:szCs w:val="24"/>
        </w:rPr>
        <w:lastRenderedPageBreak/>
        <w:t>Critique for Gail Industries audit strategy</w:t>
      </w:r>
    </w:p>
    <w:p w:rsidR="00C5322B" w:rsidRPr="00DD309C" w:rsidRDefault="00C5322B" w:rsidP="008C1E14">
      <w:pPr>
        <w:spacing w:before="100" w:beforeAutospacing="1" w:after="100" w:afterAutospacing="1" w:line="480" w:lineRule="auto"/>
        <w:ind w:firstLine="720"/>
        <w:jc w:val="both"/>
        <w:rPr>
          <w:rFonts w:ascii="Times New Roman" w:hAnsi="Times New Roman" w:cs="Times New Roman"/>
          <w:sz w:val="24"/>
          <w:szCs w:val="24"/>
        </w:rPr>
      </w:pPr>
      <w:r w:rsidRPr="00DD309C">
        <w:rPr>
          <w:rFonts w:ascii="Times New Roman" w:hAnsi="Times New Roman" w:cs="Times New Roman"/>
          <w:sz w:val="24"/>
          <w:szCs w:val="24"/>
        </w:rPr>
        <w:t>Like any other company, Gail industries is also having some risks and uncertainties that are not only related to IT but also to other sectors</w:t>
      </w:r>
      <w:r w:rsidR="00FE0218">
        <w:rPr>
          <w:rFonts w:ascii="Times New Roman" w:hAnsi="Times New Roman" w:cs="Times New Roman"/>
          <w:sz w:val="24"/>
          <w:szCs w:val="24"/>
        </w:rPr>
        <w:t xml:space="preserve"> (Harris, 2017)</w:t>
      </w:r>
      <w:r w:rsidRPr="00DD309C">
        <w:rPr>
          <w:rFonts w:ascii="Times New Roman" w:hAnsi="Times New Roman" w:cs="Times New Roman"/>
          <w:sz w:val="24"/>
          <w:szCs w:val="24"/>
        </w:rPr>
        <w:t xml:space="preserve">. Presented below are the risks that this Gail industries face; Incomplete, inaccurate, and delayed deposits processing, Inaccurate, incomplete and delayed transmission of payment data, Lack of duly processing of payments. I.e. in time, accurately, and resolving of exceptions, Logical security threat – external (unauthorized users) access to administrative network and operating system resources, Lack of assurance that changes in network infrastructure and software are documented, tested, approved, and implemented properly. Failure to this puts data into unauthorized changes, Environmental safeguards failure to protect physical assets and the data contained in those assets, </w:t>
      </w:r>
      <w:r w:rsidR="003263C5" w:rsidRPr="00DD309C">
        <w:rPr>
          <w:rFonts w:ascii="Times New Roman" w:hAnsi="Times New Roman" w:cs="Times New Roman"/>
          <w:sz w:val="24"/>
          <w:szCs w:val="24"/>
        </w:rPr>
        <w:t>Unauthorized and unreasonable physical access to the company’s assets within Gail industries</w:t>
      </w:r>
      <w:r w:rsidR="008A7C85" w:rsidRPr="00DD309C">
        <w:rPr>
          <w:rFonts w:ascii="Times New Roman" w:hAnsi="Times New Roman" w:cs="Times New Roman"/>
          <w:sz w:val="24"/>
          <w:szCs w:val="24"/>
        </w:rPr>
        <w:t xml:space="preserve">, and Unauthorized physical access to computer resources within Gail Industries’ data center. </w:t>
      </w:r>
    </w:p>
    <w:p w:rsidR="003263C5" w:rsidRPr="00DD309C" w:rsidRDefault="003263C5" w:rsidP="008C1E14">
      <w:pPr>
        <w:spacing w:before="100" w:beforeAutospacing="1" w:after="100" w:afterAutospacing="1" w:line="480" w:lineRule="auto"/>
        <w:ind w:firstLine="720"/>
        <w:jc w:val="both"/>
        <w:rPr>
          <w:rFonts w:ascii="Times New Roman" w:hAnsi="Times New Roman" w:cs="Times New Roman"/>
          <w:sz w:val="24"/>
          <w:szCs w:val="24"/>
        </w:rPr>
      </w:pPr>
      <w:r w:rsidRPr="00DD309C">
        <w:rPr>
          <w:rFonts w:ascii="Times New Roman" w:hAnsi="Times New Roman" w:cs="Times New Roman"/>
          <w:sz w:val="24"/>
          <w:szCs w:val="24"/>
        </w:rPr>
        <w:t xml:space="preserve">The IT asset base for the company is wide. This covers the IT personnel, hardware devices, software and application contained in the system, the datacenter – a very crucial facility, etc. These assets are contained in the facility named as the datacenter. </w:t>
      </w:r>
    </w:p>
    <w:p w:rsidR="003263C5" w:rsidRPr="00DD309C" w:rsidRDefault="002E1F97" w:rsidP="00DD309C">
      <w:pPr>
        <w:spacing w:before="100" w:beforeAutospacing="1" w:after="100" w:afterAutospacing="1" w:line="480" w:lineRule="auto"/>
        <w:ind w:firstLine="720"/>
        <w:jc w:val="both"/>
        <w:rPr>
          <w:rFonts w:ascii="Times New Roman" w:hAnsi="Times New Roman" w:cs="Times New Roman"/>
          <w:sz w:val="24"/>
          <w:szCs w:val="24"/>
        </w:rPr>
      </w:pPr>
      <w:r w:rsidRPr="00DD309C">
        <w:rPr>
          <w:rFonts w:ascii="Times New Roman" w:hAnsi="Times New Roman" w:cs="Times New Roman"/>
          <w:sz w:val="24"/>
          <w:szCs w:val="24"/>
        </w:rPr>
        <w:t xml:space="preserve">The controls and strategies imposed by the company are not absolutely effective. There are some critiques that can be attached to the controls and approaches that management has taken. My worry on the unauthorized physical access case where the IT personnel has the mandate of terminating an employee’s badge after contract is terminated. There seems to be a chance of accessing the physical assets and that is why it is a mandate of the personnel to monitor the system throughout the month failure to which the unknown can be expected. The visitors </w:t>
      </w:r>
      <w:r w:rsidR="008C1E14" w:rsidRPr="00DD309C">
        <w:rPr>
          <w:rFonts w:ascii="Times New Roman" w:hAnsi="Times New Roman" w:cs="Times New Roman"/>
          <w:sz w:val="24"/>
          <w:szCs w:val="24"/>
        </w:rPr>
        <w:t xml:space="preserve">ID is not clarified </w:t>
      </w:r>
      <w:r w:rsidR="008C1E14" w:rsidRPr="00DD309C">
        <w:rPr>
          <w:rFonts w:ascii="Times New Roman" w:hAnsi="Times New Roman" w:cs="Times New Roman"/>
          <w:sz w:val="24"/>
          <w:szCs w:val="24"/>
        </w:rPr>
        <w:lastRenderedPageBreak/>
        <w:t xml:space="preserve">as returned after the visit. This indicates that it can be used by more than one visitors whose primary course in the datacenter is not predictable. </w:t>
      </w:r>
    </w:p>
    <w:p w:rsidR="00FE0218" w:rsidRDefault="00FE0218" w:rsidP="00FE0218">
      <w:pPr>
        <w:spacing w:before="100" w:beforeAutospacing="1" w:after="100" w:afterAutospacing="1" w:line="480" w:lineRule="auto"/>
        <w:jc w:val="center"/>
        <w:rPr>
          <w:rFonts w:ascii="Times New Roman" w:hAnsi="Times New Roman" w:cs="Times New Roman"/>
          <w:b/>
          <w:sz w:val="24"/>
          <w:szCs w:val="24"/>
        </w:rPr>
      </w:pPr>
    </w:p>
    <w:p w:rsidR="00FE0218" w:rsidRDefault="00FE0218" w:rsidP="00FE0218">
      <w:pPr>
        <w:spacing w:before="100" w:beforeAutospacing="1" w:after="100" w:afterAutospacing="1" w:line="480" w:lineRule="auto"/>
        <w:jc w:val="center"/>
        <w:rPr>
          <w:rFonts w:ascii="Times New Roman" w:hAnsi="Times New Roman" w:cs="Times New Roman"/>
          <w:b/>
          <w:sz w:val="24"/>
          <w:szCs w:val="24"/>
        </w:rPr>
      </w:pPr>
    </w:p>
    <w:p w:rsidR="00FE0218" w:rsidRDefault="00FE0218" w:rsidP="00FE0218">
      <w:pPr>
        <w:spacing w:before="100" w:beforeAutospacing="1" w:after="100" w:afterAutospacing="1" w:line="480" w:lineRule="auto"/>
        <w:jc w:val="center"/>
        <w:rPr>
          <w:rFonts w:ascii="Times New Roman" w:hAnsi="Times New Roman" w:cs="Times New Roman"/>
          <w:b/>
          <w:sz w:val="24"/>
          <w:szCs w:val="24"/>
        </w:rPr>
      </w:pPr>
    </w:p>
    <w:p w:rsidR="00FE0218" w:rsidRDefault="00FE0218" w:rsidP="00FE0218">
      <w:pPr>
        <w:spacing w:before="100" w:beforeAutospacing="1" w:after="100" w:afterAutospacing="1" w:line="480" w:lineRule="auto"/>
        <w:jc w:val="center"/>
        <w:rPr>
          <w:rFonts w:ascii="Times New Roman" w:hAnsi="Times New Roman" w:cs="Times New Roman"/>
          <w:b/>
          <w:sz w:val="24"/>
          <w:szCs w:val="24"/>
        </w:rPr>
      </w:pPr>
    </w:p>
    <w:p w:rsidR="00FE0218" w:rsidRDefault="00FE0218" w:rsidP="00FE0218">
      <w:pPr>
        <w:spacing w:before="100" w:beforeAutospacing="1" w:after="100" w:afterAutospacing="1" w:line="480" w:lineRule="auto"/>
        <w:jc w:val="center"/>
        <w:rPr>
          <w:rFonts w:ascii="Times New Roman" w:hAnsi="Times New Roman" w:cs="Times New Roman"/>
          <w:b/>
          <w:sz w:val="24"/>
          <w:szCs w:val="24"/>
        </w:rPr>
      </w:pPr>
    </w:p>
    <w:p w:rsidR="00FE0218" w:rsidRDefault="00FE0218" w:rsidP="00FE0218">
      <w:pPr>
        <w:spacing w:before="100" w:beforeAutospacing="1" w:after="100" w:afterAutospacing="1" w:line="480" w:lineRule="auto"/>
        <w:jc w:val="center"/>
        <w:rPr>
          <w:rFonts w:ascii="Times New Roman" w:hAnsi="Times New Roman" w:cs="Times New Roman"/>
          <w:b/>
          <w:sz w:val="24"/>
          <w:szCs w:val="24"/>
        </w:rPr>
      </w:pPr>
    </w:p>
    <w:p w:rsidR="00FE0218" w:rsidRDefault="00FE0218" w:rsidP="00FE0218">
      <w:pPr>
        <w:spacing w:before="100" w:beforeAutospacing="1" w:after="100" w:afterAutospacing="1" w:line="480" w:lineRule="auto"/>
        <w:jc w:val="center"/>
        <w:rPr>
          <w:rFonts w:ascii="Times New Roman" w:hAnsi="Times New Roman" w:cs="Times New Roman"/>
          <w:b/>
          <w:sz w:val="24"/>
          <w:szCs w:val="24"/>
        </w:rPr>
      </w:pPr>
    </w:p>
    <w:p w:rsidR="00FE0218" w:rsidRDefault="00FE0218" w:rsidP="00FE0218">
      <w:pPr>
        <w:spacing w:before="100" w:beforeAutospacing="1" w:after="100" w:afterAutospacing="1" w:line="480" w:lineRule="auto"/>
        <w:jc w:val="center"/>
        <w:rPr>
          <w:rFonts w:ascii="Times New Roman" w:hAnsi="Times New Roman" w:cs="Times New Roman"/>
          <w:b/>
          <w:sz w:val="24"/>
          <w:szCs w:val="24"/>
        </w:rPr>
      </w:pPr>
    </w:p>
    <w:p w:rsidR="00FE0218" w:rsidRDefault="00FE0218" w:rsidP="00FE0218">
      <w:pPr>
        <w:spacing w:before="100" w:beforeAutospacing="1" w:after="100" w:afterAutospacing="1" w:line="480" w:lineRule="auto"/>
        <w:jc w:val="center"/>
        <w:rPr>
          <w:rFonts w:ascii="Times New Roman" w:hAnsi="Times New Roman" w:cs="Times New Roman"/>
          <w:b/>
          <w:sz w:val="24"/>
          <w:szCs w:val="24"/>
        </w:rPr>
      </w:pPr>
    </w:p>
    <w:p w:rsidR="00FE0218" w:rsidRDefault="00FE0218" w:rsidP="00FE0218">
      <w:pPr>
        <w:spacing w:before="100" w:beforeAutospacing="1" w:after="100" w:afterAutospacing="1" w:line="480" w:lineRule="auto"/>
        <w:jc w:val="center"/>
        <w:rPr>
          <w:rFonts w:ascii="Times New Roman" w:hAnsi="Times New Roman" w:cs="Times New Roman"/>
          <w:b/>
          <w:sz w:val="24"/>
          <w:szCs w:val="24"/>
        </w:rPr>
      </w:pPr>
    </w:p>
    <w:p w:rsidR="00FE0218" w:rsidRDefault="00FE0218" w:rsidP="00FE0218">
      <w:pPr>
        <w:spacing w:before="100" w:beforeAutospacing="1" w:after="100" w:afterAutospacing="1" w:line="480" w:lineRule="auto"/>
        <w:jc w:val="center"/>
        <w:rPr>
          <w:rFonts w:ascii="Times New Roman" w:hAnsi="Times New Roman" w:cs="Times New Roman"/>
          <w:b/>
          <w:sz w:val="24"/>
          <w:szCs w:val="24"/>
        </w:rPr>
      </w:pPr>
    </w:p>
    <w:p w:rsidR="00FE0218" w:rsidRDefault="00FE0218" w:rsidP="00FE0218">
      <w:pPr>
        <w:spacing w:before="100" w:beforeAutospacing="1" w:after="100" w:afterAutospacing="1" w:line="480" w:lineRule="auto"/>
        <w:jc w:val="center"/>
        <w:rPr>
          <w:rFonts w:ascii="Times New Roman" w:hAnsi="Times New Roman" w:cs="Times New Roman"/>
          <w:b/>
          <w:sz w:val="24"/>
          <w:szCs w:val="24"/>
        </w:rPr>
      </w:pPr>
    </w:p>
    <w:p w:rsidR="00FE0218" w:rsidRDefault="00FE0218" w:rsidP="00FE0218">
      <w:pPr>
        <w:spacing w:before="100" w:beforeAutospacing="1" w:after="100" w:afterAutospacing="1" w:line="480" w:lineRule="auto"/>
        <w:jc w:val="center"/>
        <w:rPr>
          <w:rFonts w:ascii="Times New Roman" w:hAnsi="Times New Roman" w:cs="Times New Roman"/>
          <w:b/>
          <w:sz w:val="24"/>
          <w:szCs w:val="24"/>
        </w:rPr>
      </w:pPr>
    </w:p>
    <w:p w:rsidR="00FE0218" w:rsidRDefault="00FE0218" w:rsidP="00FE0218">
      <w:pPr>
        <w:spacing w:before="100" w:beforeAutospacing="1" w:after="100" w:afterAutospacing="1" w:line="480" w:lineRule="auto"/>
        <w:jc w:val="center"/>
        <w:rPr>
          <w:rFonts w:ascii="Times New Roman" w:hAnsi="Times New Roman" w:cs="Times New Roman"/>
          <w:b/>
          <w:sz w:val="24"/>
          <w:szCs w:val="24"/>
        </w:rPr>
      </w:pPr>
    </w:p>
    <w:p w:rsidR="00C5322B" w:rsidRPr="00FE0218" w:rsidRDefault="00610A3B" w:rsidP="00FE0218">
      <w:pPr>
        <w:spacing w:before="100" w:beforeAutospacing="1" w:after="100" w:afterAutospacing="1" w:line="480" w:lineRule="auto"/>
        <w:jc w:val="center"/>
        <w:rPr>
          <w:rFonts w:ascii="Times New Roman" w:hAnsi="Times New Roman" w:cs="Times New Roman"/>
          <w:b/>
          <w:sz w:val="24"/>
          <w:szCs w:val="24"/>
        </w:rPr>
      </w:pPr>
      <w:bookmarkStart w:id="0" w:name="_GoBack"/>
      <w:bookmarkEnd w:id="0"/>
      <w:r w:rsidRPr="00FE0218">
        <w:rPr>
          <w:rFonts w:ascii="Times New Roman" w:hAnsi="Times New Roman" w:cs="Times New Roman"/>
          <w:b/>
          <w:sz w:val="24"/>
          <w:szCs w:val="24"/>
        </w:rPr>
        <w:lastRenderedPageBreak/>
        <w:t>References</w:t>
      </w:r>
    </w:p>
    <w:p w:rsidR="00FE0218" w:rsidRPr="00FE0218" w:rsidRDefault="00FE0218" w:rsidP="00FE0218">
      <w:pPr>
        <w:spacing w:before="100" w:beforeAutospacing="1" w:after="100" w:afterAutospacing="1" w:line="480" w:lineRule="auto"/>
        <w:ind w:left="720" w:hanging="720"/>
        <w:rPr>
          <w:rFonts w:ascii="Times New Roman" w:hAnsi="Times New Roman" w:cs="Times New Roman"/>
          <w:sz w:val="24"/>
          <w:szCs w:val="24"/>
        </w:rPr>
      </w:pPr>
      <w:r w:rsidRPr="00FE0218">
        <w:rPr>
          <w:rFonts w:ascii="Times New Roman" w:hAnsi="Times New Roman" w:cs="Times New Roman"/>
          <w:sz w:val="24"/>
          <w:szCs w:val="24"/>
          <w:shd w:val="clear" w:color="auto" w:fill="FFFFFF"/>
        </w:rPr>
        <w:t>Conducting Internal Audit Engagements-Audit Tools and Techniques (28-38%). (2015). </w:t>
      </w:r>
      <w:r w:rsidRPr="00FE0218">
        <w:rPr>
          <w:rFonts w:ascii="Times New Roman" w:hAnsi="Times New Roman" w:cs="Times New Roman"/>
          <w:i/>
          <w:iCs/>
          <w:sz w:val="24"/>
          <w:szCs w:val="24"/>
        </w:rPr>
        <w:t xml:space="preserve">Wiley </w:t>
      </w:r>
      <w:proofErr w:type="spellStart"/>
      <w:r w:rsidRPr="00FE0218">
        <w:rPr>
          <w:rFonts w:ascii="Times New Roman" w:hAnsi="Times New Roman" w:cs="Times New Roman"/>
          <w:i/>
          <w:iCs/>
          <w:sz w:val="24"/>
          <w:szCs w:val="24"/>
        </w:rPr>
        <w:t>CIAexcel</w:t>
      </w:r>
      <w:proofErr w:type="spellEnd"/>
      <w:r w:rsidRPr="00FE0218">
        <w:rPr>
          <w:rFonts w:ascii="Times New Roman" w:hAnsi="Times New Roman" w:cs="Times New Roman"/>
          <w:i/>
          <w:iCs/>
          <w:sz w:val="24"/>
          <w:szCs w:val="24"/>
        </w:rPr>
        <w:t xml:space="preserve"> Exam Review 2014</w:t>
      </w:r>
      <w:proofErr w:type="gramStart"/>
      <w:r w:rsidRPr="00FE0218">
        <w:rPr>
          <w:rFonts w:ascii="Times New Roman" w:hAnsi="Times New Roman" w:cs="Times New Roman"/>
          <w:i/>
          <w:iCs/>
          <w:sz w:val="24"/>
          <w:szCs w:val="24"/>
        </w:rPr>
        <w:t>,</w:t>
      </w:r>
      <w:r w:rsidRPr="00FE0218">
        <w:rPr>
          <w:rFonts w:ascii="Times New Roman" w:hAnsi="Times New Roman" w:cs="Times New Roman"/>
          <w:sz w:val="24"/>
          <w:szCs w:val="24"/>
          <w:shd w:val="clear" w:color="auto" w:fill="FFFFFF"/>
        </w:rPr>
        <w:t>141</w:t>
      </w:r>
      <w:proofErr w:type="gramEnd"/>
      <w:r w:rsidRPr="00FE0218">
        <w:rPr>
          <w:rFonts w:ascii="Times New Roman" w:hAnsi="Times New Roman" w:cs="Times New Roman"/>
          <w:sz w:val="24"/>
          <w:szCs w:val="24"/>
          <w:shd w:val="clear" w:color="auto" w:fill="FFFFFF"/>
        </w:rPr>
        <w:t>-205. doi:10.1002/9781119204206.ch3</w:t>
      </w:r>
    </w:p>
    <w:p w:rsidR="00610A3B" w:rsidRPr="00FE0218" w:rsidRDefault="00610A3B" w:rsidP="00FE0218">
      <w:pPr>
        <w:spacing w:before="100" w:beforeAutospacing="1" w:after="100" w:afterAutospacing="1" w:line="480" w:lineRule="auto"/>
        <w:ind w:left="720" w:hanging="720"/>
        <w:rPr>
          <w:rFonts w:ascii="Times New Roman" w:hAnsi="Times New Roman" w:cs="Times New Roman"/>
          <w:sz w:val="24"/>
          <w:szCs w:val="24"/>
        </w:rPr>
      </w:pPr>
      <w:r w:rsidRPr="00FE0218">
        <w:rPr>
          <w:rFonts w:ascii="Times New Roman" w:hAnsi="Times New Roman" w:cs="Times New Roman"/>
          <w:sz w:val="24"/>
          <w:szCs w:val="24"/>
        </w:rPr>
        <w:t xml:space="preserve">Ed </w:t>
      </w:r>
      <w:proofErr w:type="spellStart"/>
      <w:r w:rsidRPr="00FE0218">
        <w:rPr>
          <w:rFonts w:ascii="Times New Roman" w:hAnsi="Times New Roman" w:cs="Times New Roman"/>
          <w:sz w:val="24"/>
          <w:szCs w:val="24"/>
        </w:rPr>
        <w:t>Gelbstein</w:t>
      </w:r>
      <w:proofErr w:type="spellEnd"/>
      <w:r w:rsidRPr="00FE0218">
        <w:rPr>
          <w:rFonts w:ascii="Times New Roman" w:hAnsi="Times New Roman" w:cs="Times New Roman"/>
          <w:sz w:val="24"/>
          <w:szCs w:val="24"/>
        </w:rPr>
        <w:t xml:space="preserve">, Ph.D. (2016). ISACA: IS Audit Basics: Elements of an IS/IT Audit Strategy, Part 1. </w:t>
      </w:r>
      <w:proofErr w:type="spellStart"/>
      <w:r w:rsidRPr="00FE0218">
        <w:rPr>
          <w:rFonts w:ascii="Times New Roman" w:hAnsi="Times New Roman" w:cs="Times New Roman"/>
          <w:sz w:val="24"/>
          <w:szCs w:val="24"/>
        </w:rPr>
        <w:t>Vol</w:t>
      </w:r>
      <w:proofErr w:type="spellEnd"/>
      <w:r w:rsidRPr="00FE0218">
        <w:rPr>
          <w:rFonts w:ascii="Times New Roman" w:hAnsi="Times New Roman" w:cs="Times New Roman"/>
          <w:sz w:val="24"/>
          <w:szCs w:val="24"/>
        </w:rPr>
        <w:t xml:space="preserve"> 4. </w:t>
      </w:r>
    </w:p>
    <w:p w:rsidR="00FE0218" w:rsidRPr="00FE0218" w:rsidRDefault="00FE0218" w:rsidP="00FE0218">
      <w:pPr>
        <w:spacing w:before="100" w:beforeAutospacing="1" w:after="100" w:afterAutospacing="1" w:line="480" w:lineRule="auto"/>
        <w:ind w:left="720" w:hanging="720"/>
        <w:rPr>
          <w:rFonts w:ascii="Times New Roman" w:hAnsi="Times New Roman" w:cs="Times New Roman"/>
          <w:sz w:val="24"/>
          <w:szCs w:val="24"/>
        </w:rPr>
      </w:pPr>
      <w:r w:rsidRPr="00FE0218">
        <w:rPr>
          <w:rFonts w:ascii="Times New Roman" w:hAnsi="Times New Roman" w:cs="Times New Roman"/>
          <w:sz w:val="24"/>
          <w:szCs w:val="24"/>
          <w:shd w:val="clear" w:color="auto" w:fill="FFFFFF"/>
        </w:rPr>
        <w:t>Harris, G. L., DBA. (2017, April 18). 19 Key Elements to Review for Effective Audits. Retrieved April 14, 2019, from https://www.mastercontrol.com/gxp-lifeline/procurement-audits-19-key-elements</w:t>
      </w:r>
    </w:p>
    <w:p w:rsidR="00C5322B" w:rsidRPr="00DD309C" w:rsidRDefault="00C5322B" w:rsidP="008C1E14">
      <w:pPr>
        <w:spacing w:before="100" w:beforeAutospacing="1" w:after="100" w:afterAutospacing="1" w:line="480" w:lineRule="auto"/>
        <w:rPr>
          <w:rFonts w:ascii="Times New Roman" w:hAnsi="Times New Roman" w:cs="Times New Roman"/>
          <w:sz w:val="24"/>
          <w:szCs w:val="24"/>
        </w:rPr>
      </w:pPr>
    </w:p>
    <w:p w:rsidR="00DD309C" w:rsidRPr="00DD309C" w:rsidRDefault="00DD309C">
      <w:pPr>
        <w:spacing w:before="100" w:beforeAutospacing="1" w:after="100" w:afterAutospacing="1" w:line="480" w:lineRule="auto"/>
        <w:rPr>
          <w:rFonts w:ascii="Times New Roman" w:hAnsi="Times New Roman" w:cs="Times New Roman"/>
          <w:sz w:val="24"/>
          <w:szCs w:val="24"/>
        </w:rPr>
      </w:pPr>
    </w:p>
    <w:sectPr w:rsidR="00DD309C" w:rsidRPr="00DD309C">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D418B" w:rsidRDefault="00ED418B" w:rsidP="008C1E14">
      <w:pPr>
        <w:spacing w:after="0" w:line="240" w:lineRule="auto"/>
      </w:pPr>
      <w:r>
        <w:separator/>
      </w:r>
    </w:p>
  </w:endnote>
  <w:endnote w:type="continuationSeparator" w:id="0">
    <w:p w:rsidR="00ED418B" w:rsidRDefault="00ED418B" w:rsidP="008C1E1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D418B" w:rsidRDefault="00ED418B" w:rsidP="008C1E14">
      <w:pPr>
        <w:spacing w:after="0" w:line="240" w:lineRule="auto"/>
      </w:pPr>
      <w:r>
        <w:separator/>
      </w:r>
    </w:p>
  </w:footnote>
  <w:footnote w:type="continuationSeparator" w:id="0">
    <w:p w:rsidR="00ED418B" w:rsidRDefault="00ED418B" w:rsidP="008C1E1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C1E14" w:rsidRPr="008C1E14" w:rsidRDefault="008C1E14" w:rsidP="008C1E14">
    <w:pPr>
      <w:pStyle w:val="Header"/>
    </w:pPr>
    <w:r>
      <w:rPr>
        <w:rFonts w:ascii="Times New Roman" w:hAnsi="Times New Roman" w:cs="Times New Roman"/>
        <w:sz w:val="24"/>
        <w:szCs w:val="24"/>
      </w:rPr>
      <w:t xml:space="preserve">Running Head: </w:t>
    </w:r>
    <w:r w:rsidRPr="008C1E14">
      <w:rPr>
        <w:rFonts w:ascii="Times New Roman" w:hAnsi="Times New Roman" w:cs="Times New Roman"/>
        <w:sz w:val="24"/>
        <w:szCs w:val="24"/>
      </w:rPr>
      <w:t>CRITIQUE</w:t>
    </w:r>
    <w:r>
      <w:rPr>
        <w:rFonts w:ascii="Times New Roman" w:hAnsi="Times New Roman" w:cs="Times New Roman"/>
        <w:sz w:val="24"/>
        <w:szCs w:val="24"/>
      </w:rPr>
      <w:t xml:space="preserve"> FOR GAIL INDUSTRIES AUDIT STRATEGY</w:t>
    </w:r>
    <w:r>
      <w:tab/>
    </w:r>
    <w:sdt>
      <w:sdtPr>
        <w:id w:val="578563307"/>
        <w:docPartObj>
          <w:docPartGallery w:val="Page Numbers (Top of Page)"/>
          <w:docPartUnique/>
        </w:docPartObj>
      </w:sdtPr>
      <w:sdtEndPr>
        <w:rPr>
          <w:rFonts w:ascii="Times New Roman" w:hAnsi="Times New Roman" w:cs="Times New Roman"/>
          <w:noProof/>
          <w:sz w:val="24"/>
          <w:szCs w:val="24"/>
        </w:rPr>
      </w:sdtEndPr>
      <w:sdtContent>
        <w:r w:rsidRPr="008C1E14">
          <w:rPr>
            <w:rFonts w:ascii="Times New Roman" w:hAnsi="Times New Roman" w:cs="Times New Roman"/>
            <w:sz w:val="24"/>
            <w:szCs w:val="24"/>
          </w:rPr>
          <w:fldChar w:fldCharType="begin"/>
        </w:r>
        <w:r w:rsidRPr="008C1E14">
          <w:rPr>
            <w:rFonts w:ascii="Times New Roman" w:hAnsi="Times New Roman" w:cs="Times New Roman"/>
            <w:sz w:val="24"/>
            <w:szCs w:val="24"/>
          </w:rPr>
          <w:instrText xml:space="preserve"> PAGE   \* MERGEFORMAT </w:instrText>
        </w:r>
        <w:r w:rsidRPr="008C1E14">
          <w:rPr>
            <w:rFonts w:ascii="Times New Roman" w:hAnsi="Times New Roman" w:cs="Times New Roman"/>
            <w:sz w:val="24"/>
            <w:szCs w:val="24"/>
          </w:rPr>
          <w:fldChar w:fldCharType="separate"/>
        </w:r>
        <w:r w:rsidR="00FE0218">
          <w:rPr>
            <w:rFonts w:ascii="Times New Roman" w:hAnsi="Times New Roman" w:cs="Times New Roman"/>
            <w:noProof/>
            <w:sz w:val="24"/>
            <w:szCs w:val="24"/>
          </w:rPr>
          <w:t>4</w:t>
        </w:r>
        <w:r w:rsidRPr="008C1E14">
          <w:rPr>
            <w:rFonts w:ascii="Times New Roman" w:hAnsi="Times New Roman" w:cs="Times New Roman"/>
            <w:noProof/>
            <w:sz w:val="24"/>
            <w:szCs w:val="24"/>
          </w:rPr>
          <w:fldChar w:fldCharType="end"/>
        </w:r>
      </w:sdtContent>
    </w:sdt>
  </w:p>
  <w:p w:rsidR="008C1E14" w:rsidRDefault="008C1E1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5322B"/>
    <w:rsid w:val="002E1F97"/>
    <w:rsid w:val="00317CE1"/>
    <w:rsid w:val="003263C5"/>
    <w:rsid w:val="00610A3B"/>
    <w:rsid w:val="008A7C85"/>
    <w:rsid w:val="008C1E14"/>
    <w:rsid w:val="00C5322B"/>
    <w:rsid w:val="00D44E8B"/>
    <w:rsid w:val="00DD309C"/>
    <w:rsid w:val="00E170FA"/>
    <w:rsid w:val="00ED418B"/>
    <w:rsid w:val="00FE021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646B3F1-607F-4773-9289-4CF67F197F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C5322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8C1E14"/>
    <w:pPr>
      <w:tabs>
        <w:tab w:val="center" w:pos="4680"/>
        <w:tab w:val="right" w:pos="9360"/>
      </w:tabs>
      <w:spacing w:after="0" w:line="240" w:lineRule="auto"/>
    </w:pPr>
  </w:style>
  <w:style w:type="character" w:customStyle="1" w:styleId="HeaderChar">
    <w:name w:val="Header Char"/>
    <w:basedOn w:val="DefaultParagraphFont"/>
    <w:link w:val="Header"/>
    <w:uiPriority w:val="99"/>
    <w:rsid w:val="008C1E14"/>
  </w:style>
  <w:style w:type="paragraph" w:styleId="Footer">
    <w:name w:val="footer"/>
    <w:basedOn w:val="Normal"/>
    <w:link w:val="FooterChar"/>
    <w:uiPriority w:val="99"/>
    <w:unhideWhenUsed/>
    <w:rsid w:val="008C1E14"/>
    <w:pPr>
      <w:tabs>
        <w:tab w:val="center" w:pos="4680"/>
        <w:tab w:val="right" w:pos="9360"/>
      </w:tabs>
      <w:spacing w:after="0" w:line="240" w:lineRule="auto"/>
    </w:pPr>
  </w:style>
  <w:style w:type="character" w:customStyle="1" w:styleId="FooterChar">
    <w:name w:val="Footer Char"/>
    <w:basedOn w:val="DefaultParagraphFont"/>
    <w:link w:val="Footer"/>
    <w:uiPriority w:val="99"/>
    <w:rsid w:val="008C1E1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80</TotalTime>
  <Pages>4</Pages>
  <Words>389</Words>
  <Characters>2219</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2603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James Mulwa</dc:creator>
  <cp:keywords/>
  <dc:description/>
  <cp:lastModifiedBy>James Mulwa</cp:lastModifiedBy>
  <cp:revision>2</cp:revision>
  <dcterms:created xsi:type="dcterms:W3CDTF">2019-01-10T11:31:00Z</dcterms:created>
  <dcterms:modified xsi:type="dcterms:W3CDTF">2019-01-14T17:27:00Z</dcterms:modified>
</cp:coreProperties>
</file>